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Tunisia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Kais Saied</w:t>
              <w:br/>
              <w:t>Presidency of the Republic, Carthage Palace, Carthage</w:t>
            </w:r>
          </w:p>
        </w:tc>
      </w:tr>
    </w:tbl>
    <w:p/>
    <w:p>
      <w:pPr>
        <w:jc w:val="center"/>
      </w:pPr>
      <w:r>
        <w:rPr>
          <w:i/>
          <w:color w:val="606060"/>
          <w:sz w:val="18"/>
        </w:rPr>
        <w:t>Copies: Ministry of Foreign Affairs, Migration and Tunisians Abroad; Ministry of Communication Technologies; Presidency of the Government; National Cybersecurity Agency and tunCERT; National Authority for Personal Data Protection; National Computer Center;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Kais Saied, Presidency of the Republic, Carthage Palace, Carthage, Tunisia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Migration and Tunisians Abroad; Ministry of Communication Technologies; Presidency of the Government; National Cybersecurity Agency and tunCERT; National Authority for Personal Data Protection; National Computer Center;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Tunisia's constitutional and human-rights traditions, Mediterranean and African diplomacy, digital government, cybersecurity, privacy, science, medicine, public health, and multilateral engagement makes Tunisia well positioned to contribute to that discussion.</w:t>
      </w:r>
    </w:p>
    <w:p>
      <w:pPr>
        <w:pStyle w:val="Heading1"/>
        <w:keepNext/>
        <w:keepLines/>
      </w:pPr>
      <w:r>
        <w:t>Request</w:t>
      </w:r>
    </w:p>
    <w:p>
      <w:pPr>
        <w:widowControl/>
      </w:pPr>
      <w:r>
        <w:t>At this stage, we are not asking Tunisia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Tunisia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Migration and Tunisians Abroad: </w:t>
      </w:r>
      <w:r>
        <w:t>Avenue de la Ligue Arabe, Tunis 1030, Tunisia</w:t>
      </w:r>
    </w:p>
    <w:p>
      <w:pPr>
        <w:widowControl/>
      </w:pPr>
      <w:r>
        <w:rPr>
          <w:b/>
        </w:rPr>
        <w:t xml:space="preserve">Ministry of Communication Technologies: </w:t>
      </w:r>
      <w:r>
        <w:t>Tunis, Tunisia</w:t>
      </w:r>
    </w:p>
    <w:p>
      <w:pPr>
        <w:widowControl/>
      </w:pPr>
      <w:r>
        <w:rPr>
          <w:b/>
        </w:rPr>
        <w:t xml:space="preserve">Embassy of Tunisia in the United States: </w:t>
      </w:r>
      <w:r>
        <w:t>1515 Massachusetts Avenue NW, Washington, DC 20005,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