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Netherlands</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Rob Jetten</w:t>
              <w:br/>
              <w:t>Ministry of General Affairs, Bezuidenhoutseweg 73, The Hague</w:t>
            </w:r>
          </w:p>
        </w:tc>
      </w:tr>
    </w:tbl>
    <w:p/>
    <w:p>
      <w:pPr>
        <w:jc w:val="center"/>
      </w:pPr>
      <w:r>
        <w:rPr>
          <w:i/>
          <w:color w:val="606060"/>
          <w:sz w:val="18"/>
        </w:rPr>
        <w:t>Copies: Foreign Affairs; Education, Culture and Science; NCSC; Embassy of the Netherlands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Rob Jetten, Ministry of General Affairs, PO Box 20001, 2500 EA The Hague, Netherlands</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Culture and Science; National Cyber Security Centre; Embassy of the Netherlands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The Netherlands’ leadership in international law, cybersecurity, data protection, responsible artificial intelligence, neuroscience, and human-rights diplomacy makes it well positioned to contribute to that discussion.</w:t>
      </w:r>
    </w:p>
    <w:p>
      <w:pPr>
        <w:pStyle w:val="Heading1"/>
        <w:keepNext/>
        <w:keepLines/>
      </w:pPr>
      <w:r>
        <w:t>Request</w:t>
      </w:r>
    </w:p>
    <w:p>
      <w:pPr>
        <w:widowControl/>
      </w:pPr>
      <w:r>
        <w:t>At this stage, we are not asking the Netherlands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Netherlands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Rijnstraat 8, PO Box 20061, 2500 EB The Hague, Netherlands</w:t>
      </w:r>
    </w:p>
    <w:p>
      <w:pPr>
        <w:widowControl/>
      </w:pPr>
      <w:r>
        <w:rPr>
          <w:b/>
        </w:rPr>
        <w:t xml:space="preserve">Ministry of Education, Culture and Science: </w:t>
      </w:r>
      <w:r>
        <w:t>Rijnstraat 50, PO Box 16375, 2500 BJ The Hague, Netherlands</w:t>
      </w:r>
    </w:p>
    <w:p>
      <w:pPr>
        <w:widowControl/>
      </w:pPr>
      <w:r>
        <w:rPr>
          <w:b/>
        </w:rPr>
        <w:t xml:space="preserve">Embassy of the Netherlands in the United States: </w:t>
      </w:r>
      <w:r>
        <w:t>4200 Linnean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