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Luxembourg</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Prime Minister Luc Frieden</w:t>
              <w:br/>
              <w:t>Ministry of State, 2 Place de Clairefontaine, L-1341 Luxembourg</w:t>
            </w:r>
          </w:p>
        </w:tc>
      </w:tr>
    </w:tbl>
    <w:p/>
    <w:p>
      <w:pPr>
        <w:jc w:val="center"/>
      </w:pPr>
      <w:r>
        <w:rPr>
          <w:i/>
          <w:color w:val="606060"/>
          <w:sz w:val="18"/>
        </w:rPr>
        <w:t>Copies: Ministry of Foreign and European Affairs, Defence, Development Cooperation and Foreign Trade; Ministry of Research and Higher Education; GOVCERT.LU; CNPD; Ombudsman;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Prime Minister Luc Frieden, Ministry of State, 2 Place de Clairefontaine, L-1341 Luxembourg, Luxembourg</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and European Affairs, Defence, Development Cooperation and Foreign Trade; Ministry of Research and Higher Education; GOVCERT.LU; CNPD; Ombudsman;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Prime Minister,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Luxembourg’s leadership in European diplomacy, data protection, cybersecurity, space and communications policy, scientific research, human rights, and multilateral governance makes Luxembourg well positioned to contribute to that discussion.</w:t>
      </w:r>
    </w:p>
    <w:p>
      <w:pPr>
        <w:pStyle w:val="Heading1"/>
        <w:keepNext/>
        <w:keepLines/>
      </w:pPr>
      <w:r>
        <w:t>Request</w:t>
      </w:r>
    </w:p>
    <w:p>
      <w:pPr>
        <w:widowControl/>
      </w:pPr>
      <w:r>
        <w:t>At this stage, we are not asking Luxembourg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Grand Duchy of Luxembourg</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and European Affairs, Defence, Development Cooperation and Foreign Trade: </w:t>
      </w:r>
      <w:r>
        <w:t>9 Rue du Palais de Justice, L-1841 Luxembourg, Luxembourg</w:t>
      </w:r>
    </w:p>
    <w:p>
      <w:pPr>
        <w:widowControl/>
      </w:pPr>
      <w:r>
        <w:rPr>
          <w:b/>
        </w:rPr>
        <w:t xml:space="preserve">Ministry of Research and Higher Education: </w:t>
      </w:r>
      <w:r>
        <w:t>18-20 montée de la Pétrusse, L-2327 Luxembourg, Luxembourg</w:t>
      </w:r>
    </w:p>
    <w:p>
      <w:pPr>
        <w:widowControl/>
      </w:pPr>
      <w:r>
        <w:rPr>
          <w:b/>
        </w:rPr>
        <w:t xml:space="preserve">Luxembourg Embassy: </w:t>
      </w:r>
      <w:r>
        <w:t>2200 Massachusetts Ave NW, Washington DC 20008</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