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Latvia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Andris Kulbergs</w:t>
              <w:br/>
              <w:t>Cabinet of Ministers, Brīvības bulvāris 36, Riga LV-1520</w:t>
            </w:r>
          </w:p>
        </w:tc>
      </w:tr>
    </w:tbl>
    <w:p/>
    <w:p>
      <w:pPr>
        <w:jc w:val="center"/>
      </w:pPr>
      <w:r>
        <w:rPr>
          <w:i/>
          <w:color w:val="606060"/>
          <w:sz w:val="18"/>
        </w:rPr>
        <w:t>Copies: Ministry of Foreign Affairs; Ministry of Education and Science; CERT.LV; Data State Inspectorate; Ombudsman;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Andris Kulbergs, Cabinet of Ministers, Brīvības bulvāris 36, Riga LV-1520, Latvia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Education and Science; CERT.LV; Data State Inspectorate; Ombudsman;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Latvia’s leadership in democratic resilience, cybersecurity, science, privacy, European security, human rights, and transatlantic diplomacy makes Latvia well positioned to contribute to that discussion.</w:t>
      </w:r>
    </w:p>
    <w:p>
      <w:pPr>
        <w:pStyle w:val="Heading1"/>
        <w:keepNext/>
        <w:keepLines/>
      </w:pPr>
      <w:r>
        <w:t>Request</w:t>
      </w:r>
    </w:p>
    <w:p>
      <w:pPr>
        <w:widowControl/>
      </w:pPr>
      <w:r>
        <w:t>At this stage, we are not asking Latvia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Latvia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K. Valdemāra iela 3, Riga LV-1395, Latvia</w:t>
      </w:r>
    </w:p>
    <w:p>
      <w:pPr>
        <w:widowControl/>
      </w:pPr>
      <w:r>
        <w:rPr>
          <w:b/>
        </w:rPr>
        <w:t xml:space="preserve">Ministry of Education and Science: </w:t>
      </w:r>
      <w:r>
        <w:t>Vaļņu iela 2, Riga LV-1050, Latvia</w:t>
      </w:r>
    </w:p>
    <w:p>
      <w:pPr>
        <w:widowControl/>
      </w:pPr>
      <w:r>
        <w:rPr>
          <w:b/>
        </w:rPr>
        <w:t xml:space="preserve">Embassy of Latvia in the United States: </w:t>
      </w:r>
      <w:r>
        <w:t>2306 Massachusetts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