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Eyebrow"/>
        <w:jc w:val="center"/>
      </w:pPr>
      <w:r>
        <w:t>TARGETED ARMY COALITION</w:t>
      </w:r>
    </w:p>
    <w:p/>
    <w:p>
      <w:pPr>
        <w:jc w:val="center"/>
      </w:pPr>
      <w:r>
        <w:drawing>
          <wp:inline xmlns:a="http://schemas.openxmlformats.org/drawingml/2006/main" xmlns:pic="http://schemas.openxmlformats.org/drawingml/2006/picture">
            <wp:extent cx="3474720" cy="2084832"/>
            <wp:docPr id="1" name="Picture 1"/>
            <wp:cNvGraphicFramePr>
              <a:graphicFrameLocks noChangeAspect="1"/>
            </wp:cNvGraphicFramePr>
            <a:graphic>
              <a:graphicData uri="http://schemas.openxmlformats.org/drawingml/2006/picture">
                <pic:pic>
                  <pic:nvPicPr>
                    <pic:cNvPr id="0" name="uk_flag.png"/>
                    <pic:cNvPicPr/>
                  </pic:nvPicPr>
                  <pic:blipFill>
                    <a:blip r:embed="rId10"/>
                    <a:stretch>
                      <a:fillRect/>
                    </a:stretch>
                  </pic:blipFill>
                  <pic:spPr>
                    <a:xfrm>
                      <a:off x="0" y="0"/>
                      <a:ext cx="3474720" cy="2084832"/>
                    </a:xfrm>
                    <a:prstGeom prst="rect"/>
                  </pic:spPr>
                </pic:pic>
              </a:graphicData>
            </a:graphic>
          </wp:inline>
        </w:drawing>
      </w:r>
    </w:p>
    <w:p/>
    <w:p>
      <w:pPr>
        <w:pStyle w:val="Title"/>
        <w:jc w:val="center"/>
      </w:pPr>
      <w:r>
        <w:t>Cognitive Sovereignty Initiative</w:t>
      </w:r>
    </w:p>
    <w:p>
      <w:pPr>
        <w:pStyle w:val="Subtitle"/>
        <w:jc w:val="center"/>
      </w:pPr>
      <w:r>
        <w:t>Formal Introduction to the Government of Kenya</w:t>
      </w:r>
    </w:p>
    <w:p/>
    <w:tbl>
      <w:tblPr>
        <w:tblW w:type="auto" w:w="0"/>
        <w:jc w:val="center"/>
        <w:tblLayout w:type="fixed"/>
        <w:tblLook w:firstColumn="1" w:firstRow="1" w:lastColumn="0" w:lastRow="0" w:noHBand="0" w:noVBand="1" w:val="04A0"/>
      </w:tblPr>
      <w:tblGrid>
        <w:gridCol w:w="8064"/>
      </w:tblGrid>
      <w:tr>
        <w:tc>
          <w:tcPr>
            <w:tcW w:type="dxa" w:w="9936"/>
            <w:vAlign w:val="center"/>
            <w:tcMar>
              <w:top w:w="180" w:type="dxa"/>
              <w:start w:w="220" w:type="dxa"/>
              <w:bottom w:w="180" w:type="dxa"/>
              <w:end w:w="220" w:type="dxa"/>
            </w:tcMar>
          </w:tcPr>
          <w:p>
            <w:pPr>
              <w:jc w:val="center"/>
            </w:pPr>
            <w:r>
              <w:rPr>
                <w:rFonts w:ascii="Noto Sans" w:hAnsi="Noto Sans"/>
                <w:b/>
                <w:sz w:val="22"/>
              </w:rPr>
              <w:t>Primary recipient: President William Samoei Ruto</w:t>
              <w:br/>
              <w:t>State House, P.O. Box 40530-00100, Nairobi</w:t>
            </w:r>
          </w:p>
        </w:tc>
      </w:tr>
    </w:tbl>
    <w:p/>
    <w:p>
      <w:pPr>
        <w:jc w:val="center"/>
      </w:pPr>
      <w:r>
        <w:rPr>
          <w:i/>
          <w:color w:val="606060"/>
          <w:sz w:val="18"/>
        </w:rPr>
        <w:t>Copies: Ministry of Foreign and Diaspora Affairs; State Department for Science, Research and Innovation; Ministry of Interior; KE-CIRT/Communications Authority; Office of the Data Protection Commissioner; Kenya National Commission on Human Rights; Embassy in the United States</w:t>
      </w:r>
      <w:r>
        <w:rPr>
          <w:i/>
          <w:color w:val="606060"/>
          <w:sz w:val="18"/>
        </w:rPr>
        <w:br/>
        <w:t xml:space="preserve">Website: </w:t>
      </w:r>
      <w:hyperlink r:id="rId11" w:history="1">
        <w:r>
          <w:rPr>
            <w:i/>
            <w:color w:val="0563C1"/>
            <w:sz w:val="18"/>
            <w:u w:val="single"/>
          </w:rPr>
          <w:t>https://targeted.army</w:t>
        </w:r>
      </w:hyperlink>
    </w:p>
    <w:p/>
    <w:p/>
    <w:p/>
    <w:p>
      <w:pPr>
        <w:jc w:val="center"/>
      </w:pPr>
      <w:r>
        <w:rPr>
          <w:b/>
          <w:color w:val="243B5A"/>
          <w:sz w:val="20"/>
        </w:rPr>
        <w:t>Cognitive Sovereignty Initiative</w:t>
      </w:r>
    </w:p>
    <w:p>
      <w:r>
        <w:br w:type="page"/>
      </w:r>
    </w:p>
    <w:tbl>
      <w:tblPr>
        <w:tblW w:type="auto" w:w="0"/>
        <w:jc w:val="left"/>
        <w:tblLayout w:type="fixed"/>
        <w:tblLook w:firstColumn="1" w:firstRow="1" w:lastColumn="0" w:lastRow="0" w:noHBand="0" w:noVBand="1" w:val="04A0"/>
      </w:tblPr>
      <w:tblGrid>
        <w:gridCol w:w="2088"/>
        <w:gridCol w:w="8352"/>
      </w:tblGrid>
      <w:tr>
        <w:tc>
          <w:tcPr>
            <w:tcW w:type="dxa" w:w="2088"/>
            <w:tcMar>
              <w:top w:w="35" w:type="dxa"/>
              <w:start w:w="0" w:type="dxa"/>
              <w:bottom w:w="35" w:type="dxa"/>
              <w:end w:w="80" w:type="dxa"/>
            </w:tcMar>
          </w:tcPr>
          <w:p>
            <w:r>
              <w:rPr>
                <w:rFonts w:ascii="Noto Sans" w:hAnsi="Noto Sans"/>
                <w:b/>
                <w:color w:val="243B5A"/>
                <w:sz w:val="19"/>
              </w:rPr>
              <w:t>From</w:t>
            </w:r>
          </w:p>
        </w:tc>
        <w:tc>
          <w:tcPr>
            <w:tcW w:type="dxa" w:w="8352"/>
            <w:tcMar>
              <w:top w:w="35" w:type="dxa"/>
              <w:start w:w="0" w:type="dxa"/>
              <w:bottom w:w="35" w:type="dxa"/>
              <w:end w:w="0" w:type="dxa"/>
            </w:tcMar>
          </w:tcPr>
          <w:p>
            <w:r>
              <w:rPr>
                <w:rFonts w:ascii="Noto Sans" w:hAnsi="Noto Sans"/>
                <w:sz w:val="19"/>
              </w:rPr>
              <w:t>Maxis Richards, Targeted Army Coalition</w:t>
            </w:r>
          </w:p>
        </w:tc>
      </w:tr>
      <w:tr>
        <w:tc>
          <w:tcPr>
            <w:tcW w:type="dxa" w:w="2088"/>
            <w:tcMar>
              <w:top w:w="35" w:type="dxa"/>
              <w:start w:w="0" w:type="dxa"/>
              <w:bottom w:w="35" w:type="dxa"/>
              <w:end w:w="80" w:type="dxa"/>
            </w:tcMar>
          </w:tcPr>
          <w:p>
            <w:r>
              <w:rPr>
                <w:rFonts w:ascii="Noto Sans" w:hAnsi="Noto Sans"/>
                <w:b/>
                <w:color w:val="243B5A"/>
                <w:sz w:val="19"/>
              </w:rPr>
              <w:t>To</w:t>
            </w:r>
          </w:p>
        </w:tc>
        <w:tc>
          <w:tcPr>
            <w:tcW w:type="dxa" w:w="8352"/>
            <w:tcMar>
              <w:top w:w="35" w:type="dxa"/>
              <w:start w:w="0" w:type="dxa"/>
              <w:bottom w:w="35" w:type="dxa"/>
              <w:end w:w="0" w:type="dxa"/>
            </w:tcMar>
          </w:tcPr>
          <w:p>
            <w:r>
              <w:rPr>
                <w:rFonts w:ascii="Noto Sans" w:hAnsi="Noto Sans"/>
                <w:sz w:val="19"/>
              </w:rPr>
              <w:t>President William Samoei Ruto, State House, P.O. Box 40530-00100, Nairobi, Kenya</w:t>
            </w:r>
          </w:p>
        </w:tc>
      </w:tr>
      <w:tr>
        <w:tc>
          <w:tcPr>
            <w:tcW w:type="dxa" w:w="2088"/>
            <w:tcMar>
              <w:top w:w="35" w:type="dxa"/>
              <w:start w:w="0" w:type="dxa"/>
              <w:bottom w:w="35" w:type="dxa"/>
              <w:end w:w="80" w:type="dxa"/>
            </w:tcMar>
          </w:tcPr>
          <w:p>
            <w:r>
              <w:rPr>
                <w:rFonts w:ascii="Noto Sans" w:hAnsi="Noto Sans"/>
                <w:b/>
                <w:color w:val="243B5A"/>
                <w:sz w:val="19"/>
              </w:rPr>
              <w:t>Copies</w:t>
            </w:r>
          </w:p>
        </w:tc>
        <w:tc>
          <w:tcPr>
            <w:tcW w:type="dxa" w:w="8352"/>
            <w:tcMar>
              <w:top w:w="35" w:type="dxa"/>
              <w:start w:w="0" w:type="dxa"/>
              <w:bottom w:w="35" w:type="dxa"/>
              <w:end w:w="0" w:type="dxa"/>
            </w:tcMar>
          </w:tcPr>
          <w:p>
            <w:r>
              <w:rPr>
                <w:rFonts w:ascii="Noto Sans" w:hAnsi="Noto Sans"/>
                <w:sz w:val="19"/>
              </w:rPr>
              <w:t>Ministry of Foreign and Diaspora Affairs; State Department for Science, Research and Innovation; Ministry of Interior; KE-CIRT/Communications Authority; Office of the Data Protection Commissioner; Kenya National Commission on Human Rights; Embassy in the United States</w:t>
            </w:r>
          </w:p>
        </w:tc>
      </w:tr>
      <w:tr>
        <w:tc>
          <w:tcPr>
            <w:tcW w:type="dxa" w:w="2088"/>
            <w:tcMar>
              <w:top w:w="35" w:type="dxa"/>
              <w:start w:w="0" w:type="dxa"/>
              <w:bottom w:w="35" w:type="dxa"/>
              <w:end w:w="80" w:type="dxa"/>
            </w:tcMar>
          </w:tcPr>
          <w:p>
            <w:r>
              <w:rPr>
                <w:rFonts w:ascii="Noto Sans" w:hAnsi="Noto Sans"/>
                <w:b/>
                <w:color w:val="243B5A"/>
                <w:sz w:val="19"/>
              </w:rPr>
              <w:t>Subject</w:t>
            </w:r>
          </w:p>
        </w:tc>
        <w:tc>
          <w:tcPr>
            <w:tcW w:type="dxa" w:w="8352"/>
            <w:tcMar>
              <w:top w:w="35" w:type="dxa"/>
              <w:start w:w="0" w:type="dxa"/>
              <w:bottom w:w="35" w:type="dxa"/>
              <w:end w:w="0" w:type="dxa"/>
            </w:tcMar>
          </w:tcPr>
          <w:p>
            <w:r>
              <w:rPr>
                <w:rFonts w:ascii="Noto Sans" w:hAnsi="Noto Sans"/>
                <w:sz w:val="19"/>
              </w:rPr>
              <w:t>Cognitive Sovereignty Initiative - International Government Outreach, Evidence Assistance, Victim Advocacy, and Emerging Neurotechnology</w:t>
            </w:r>
          </w:p>
        </w:tc>
      </w:tr>
      <w:tr>
        <w:tc>
          <w:tcPr>
            <w:tcW w:type="dxa" w:w="2088"/>
            <w:tcMar>
              <w:top w:w="35" w:type="dxa"/>
              <w:start w:w="0" w:type="dxa"/>
              <w:bottom w:w="35" w:type="dxa"/>
              <w:end w:w="80" w:type="dxa"/>
            </w:tcMar>
          </w:tcPr>
          <w:p>
            <w:r>
              <w:rPr>
                <w:rFonts w:ascii="Noto Sans" w:hAnsi="Noto Sans"/>
                <w:b/>
                <w:color w:val="243B5A"/>
                <w:sz w:val="19"/>
              </w:rPr>
              <w:t>Date</w:t>
            </w:r>
          </w:p>
        </w:tc>
        <w:tc>
          <w:tcPr>
            <w:tcW w:type="dxa" w:w="8352"/>
            <w:tcMar>
              <w:top w:w="35" w:type="dxa"/>
              <w:start w:w="0" w:type="dxa"/>
              <w:bottom w:w="35" w:type="dxa"/>
              <w:end w:w="0" w:type="dxa"/>
            </w:tcMar>
          </w:tcPr>
          <w:p>
            <w:r>
              <w:rPr>
                <w:rFonts w:ascii="Noto Sans" w:hAnsi="Noto Sans"/>
                <w:sz w:val="19"/>
              </w:rPr>
              <w:t>24 August 2026</w:t>
            </w:r>
          </w:p>
        </w:tc>
      </w:tr>
    </w:tbl>
    <w:p/>
    <w:p>
      <w:pPr>
        <w:widowControl/>
      </w:pPr>
      <w:r>
        <w:t>Dear Mr. President,</w:t>
      </w:r>
    </w:p>
    <w:p>
      <w:pPr>
        <w:pStyle w:val="Heading1"/>
        <w:keepNext/>
        <w:keepLines/>
      </w:pPr>
      <w:r>
        <w:t>Introduction</w:t>
      </w:r>
    </w:p>
    <w:p>
      <w:pPr>
        <w:widowControl/>
      </w:pPr>
      <w:r>
        <w:t xml:space="preserve">Campaign website: </w:t>
      </w:r>
      <w:r>
        <w:t xml:space="preserve"/>
      </w:r>
      <w:hyperlink r:id="rId11" w:history="1">
        <w:r>
          <w:rPr>
            <w:color w:val="0563C1"/>
            <w:u w:val="single"/>
          </w:rPr>
          <w:t>https://targeted.army</w:t>
        </w:r>
      </w:hyperlink>
    </w:p>
    <w:p>
      <w:pPr>
        <w:widowControl/>
      </w:pPr>
      <w:r>
        <w:t>I write on behalf of the Targeted Army Coalition to introduce our Cognitive Sovereignty Initiative, an international outreach and advocacy campaign intended to help governments examine the implications of emerging neurotechnology, neural privacy, cognitive security, directed-energy technologies, advanced surveillance capabilities, and protection against unauthorized technological interference.</w:t>
      </w:r>
    </w:p>
    <w:p>
      <w:pPr>
        <w:widowControl/>
      </w:pPr>
      <w:r>
        <w:t>Targeted Army is an advocacy, documentation, research, and public-education organization serving individuals who report experiences they believe may involve unauthorized neural surveillance, electronic harassment, directed-energy exposure, remote neurological interference, or other violations of privacy, bodily integrity, or cognitive autonomy.</w:t>
      </w:r>
    </w:p>
    <w:p>
      <w:pPr>
        <w:pStyle w:val="Heading1"/>
        <w:keepNext/>
        <w:keepLines/>
      </w:pPr>
      <w:r>
        <w:t>Our Role and Evidentiary Approach</w:t>
      </w:r>
    </w:p>
    <w:p>
      <w:pPr>
        <w:widowControl/>
      </w:pPr>
      <w:r>
        <w:t>We maintain a community of individuals who identify themselves as victims or potential victims of neuroprivacy and related violations. We collect and organize accounts and supporting materials, preserve documentation supplied by participants, review publicly available government and scientific records, and assist individuals in documenting their experiences.</w:t>
      </w:r>
    </w:p>
    <w:p>
      <w:pPr>
        <w:widowControl/>
      </w:pPr>
      <w:r>
        <w:t>We recognize the distinction between a reported allegation and an independently established fact. We do not ask governments to accept every individual account as proven. We encourage independent governmental investigation, scientific evaluation, technical verification, and appropriate evidentiary standards.</w:t>
      </w:r>
    </w:p>
    <w:p>
      <w:pPr>
        <w:pStyle w:val="Heading1"/>
        <w:keepNext/>
        <w:keepLines/>
      </w:pPr>
      <w:r>
        <w:t>The Cognitive Sovereignty Initiative</w:t>
      </w:r>
    </w:p>
    <w:p>
      <w:pPr>
        <w:widowControl/>
      </w:pPr>
      <w:r>
        <w:t>The Cognitive Sovereignty Initiative is our campaign to engage national governments directly. We use “cognitive sovereignty” to describe the combined sovereign and individual interest in protecting mental autonomy, neural information, cognitive integrity, and persons within a jurisdiction from unauthorized technological access or interference.</w:t>
      </w:r>
    </w:p>
    <w:p>
      <w:pPr>
        <w:widowControl/>
      </w:pPr>
      <w:r>
        <w:t>Our objective is to help governments understand the policy questions raised by rapidly developing brain-computer interfaces, artificial intelligence, neuroimaging, neuromodulation, biometric inference, remote sensing, communications infrastructure, and other technologies that may interact with or infer information about human neurological activity.</w:t>
      </w:r>
    </w:p>
    <w:p>
      <w:pPr>
        <w:pStyle w:val="Heading1"/>
        <w:keepNext/>
        <w:keepLines/>
      </w:pPr>
      <w:r>
        <w:t>How Targeted Army Can Assist</w:t>
      </w:r>
    </w:p>
    <w:p>
      <w:pPr>
        <w:widowControl/>
      </w:pPr>
      <w:r>
        <w:t>Targeted Army can assist appropriate government offices by locating, organizing, and presenting potentially relevant material; facilitating voluntary statements from individuals who report these experiences; identifying recurring allegations for independent analysis; and connecting officials with potential witnesses or whistleblowers who wish to communicate with competent authorities, subject to consent and appropriate safeguards.</w:t>
      </w:r>
    </w:p>
    <w:p>
      <w:pPr>
        <w:pStyle w:val="Heading1"/>
        <w:keepNext/>
        <w:keepLines/>
      </w:pPr>
      <w:r>
        <w:t>Government-to-Government Diplomacy</w:t>
      </w:r>
    </w:p>
    <w:p>
      <w:pPr>
        <w:widowControl/>
      </w:pPr>
      <w:r>
        <w:t>Where a government determines that credible evidence justifies diplomatic action, we can assist with research packages, evidence summaries, policy materials, and model correspondence that the government may independently review and adapt. Such materials may support requests for clarification, technical consultation, preservation of records, statements of non-consent, or cease-and-desist demands if an investigation establishes unauthorized activity.</w:t>
      </w:r>
    </w:p>
    <w:p>
      <w:pPr>
        <w:widowControl/>
      </w:pPr>
      <w:r>
        <w:t>Our broader objective is preventative: governments should define their policies concerning neural privacy, cognitive security, non-consensual neurotechnology, and cross-border technological interference before a serious international incident forces them to do so.</w:t>
      </w:r>
    </w:p>
    <w:p>
      <w:pPr>
        <w:pStyle w:val="Heading1"/>
        <w:keepNext/>
        <w:keepLines/>
      </w:pPr>
      <w:r>
        <w:t>Included Model Government Cease-and-Desist Draft</w:t>
      </w:r>
    </w:p>
    <w:p>
      <w:pPr>
        <w:widowControl/>
      </w:pPr>
      <w:r>
        <w:t>This package includes a model government cease-and-desist draft for independent governmental review. It is not presented as a finding that any state or agency is conducting the alleged activities. It is a policy and diplomatic starting point that an authorized government may reject, revise, investigate, or adopt only after its own legal, technical, evidentiary, and diplomatic review. The model shows how a government could formally state non-consent, request assurances and record preservation, and establish a consultation or investigation channel if credible evidence warrants action.</w:t>
      </w:r>
    </w:p>
    <w:p>
      <w:pPr>
        <w:pStyle w:val="Heading1"/>
        <w:keepNext/>
        <w:keepLines/>
      </w:pPr>
      <w:r>
        <w:t>International Dialogue</w:t>
      </w:r>
    </w:p>
    <w:p>
      <w:pPr>
        <w:widowControl/>
      </w:pPr>
      <w:r>
        <w:t>We believe these questions are appropriate for international diplomatic discussion, including within the United Nations system and other multilateral forums. International standards may ultimately be needed because communications networks, satellites, research partnerships, defense systems, corporations, and intelligence relationships operate across borders. Kenya’s leadership in African diplomacy, digital innovation, data protection, cybersecurity, science, public health, constitutional rights, and regional cooperation makes Kenya well positioned to contribute to that discussion.</w:t>
      </w:r>
    </w:p>
    <w:p>
      <w:pPr>
        <w:pStyle w:val="Heading1"/>
        <w:keepNext/>
        <w:keepLines/>
      </w:pPr>
      <w:r>
        <w:t>Request</w:t>
      </w:r>
    </w:p>
    <w:p>
      <w:pPr>
        <w:widowControl/>
      </w:pPr>
      <w:r>
        <w:t>At this stage, we are not asking Kenya to endorse Targeted Army or adopt a predetermined conclusion. We respectfully ask the Government to examine these issues and identify the appropriate office with which we may share an introductory evidence and research package.</w:t>
      </w:r>
    </w:p>
    <w:p>
      <w:pPr>
        <w:widowControl/>
      </w:pPr>
      <w:r>
        <w:t>If the Government has specific questions, categories of evidence it wishes to review, or subjects it would like us to research, Targeted Army is prepared to organize materials responsive to those requests.</w:t>
      </w:r>
    </w:p>
    <w:p>
      <w:pPr>
        <w:pStyle w:val="Heading1"/>
        <w:keepNext/>
        <w:keepLines/>
      </w:pPr>
      <w:r>
        <w:t>An Open Resource</w:t>
      </w:r>
    </w:p>
    <w:p>
      <w:pPr>
        <w:widowControl/>
      </w:pPr>
      <w:r>
        <w:t>If officials need historical government material, scientific references, technical literature, patents, hearing records, individual statements, or organized summaries of reported experiences, we will assist in locating and compiling them. If investigators wish to request voluntary statements from members of our network, we can communicate that request. If a credible witness or whistleblower wishes to contact appropriate authorities, we can assist in establishing a responsible channel where possible.</w:t>
      </w:r>
    </w:p>
    <w:p>
      <w:pPr>
        <w:widowControl/>
      </w:pPr>
      <w:r>
        <w:t>The purpose of this letter is to establish a line of communication. Targeted Army stands ready to serve as a resource to governments examining cognitive sovereignty, neural privacy, emerging neurotechnology, and the protection of persons against unauthorized technological interference.</w:t>
      </w:r>
    </w:p>
    <w:p>
      <w:pPr>
        <w:pStyle w:val="Heading1"/>
        <w:keepNext/>
        <w:keepLines/>
      </w:pPr>
      <w:r>
        <w:t>Requested Routing Within The Government of the Republic of Kenya</w:t>
      </w:r>
    </w:p>
    <w:p>
      <w:pPr>
        <w:widowControl/>
      </w:pPr>
      <w:r>
        <w:t>We respectfully ask that this correspondence be routed, as appropriate, to officials responsible for foreign affairs, national security, science and emerging technology, neurotechnology, privacy and data governance, human rights, intelligence oversight, and international technological governance. We would welcome identification of a suitable point of contact for continuing correspondence.</w:t>
      </w:r>
    </w:p>
    <w:p>
      <w:pPr>
        <w:widowControl/>
      </w:pPr>
      <w:r>
        <w:t>Respectfully,</w:t>
        <w:br/>
        <w:br/>
        <w:t>Maxis Richards</w:t>
        <w:br/>
        <w:t>Targeted Army Coalition</w:t>
        <w:br/>
        <w:t>Cognitive Sovereignty Initiative</w:t>
        <w:br/>
        <w:t>TARGETED.ARMY</w:t>
      </w:r>
      <w:r>
        <w:br/>
        <w:t xml:space="preserve">Website: </w:t>
      </w:r>
      <w:hyperlink r:id="rId11" w:history="1">
        <w:r>
          <w:rPr>
            <w:color w:val="0563C1"/>
            <w:u w:val="single"/>
          </w:rPr>
          <w:t>https://targeted.army</w:t>
        </w:r>
      </w:hyperlink>
    </w:p>
    <w:p>
      <w:pPr>
        <w:pStyle w:val="Heading1"/>
        <w:keepNext/>
        <w:keepLines/>
      </w:pPr>
      <w:r>
        <w:t>Copies and Postal Addresses</w:t>
      </w:r>
    </w:p>
    <w:p>
      <w:pPr>
        <w:widowControl/>
      </w:pPr>
      <w:r>
        <w:rPr>
          <w:b/>
        </w:rPr>
        <w:t xml:space="preserve">Ministry of Foreign and Diaspora Affairs: </w:t>
      </w:r>
      <w:r>
        <w:t>Old Treasury Building, Harambee Avenue, P.O. Box 30551-00100, Nairobi, Kenya</w:t>
      </w:r>
    </w:p>
    <w:p>
      <w:pPr>
        <w:widowControl/>
      </w:pPr>
      <w:r>
        <w:rPr>
          <w:b/>
        </w:rPr>
        <w:t xml:space="preserve">State Department for Science, Research and Innovation: </w:t>
      </w:r>
      <w:r>
        <w:t>Jogoo House B, Harambee Avenue, Nairobi, Kenya</w:t>
      </w:r>
    </w:p>
    <w:p>
      <w:pPr>
        <w:widowControl/>
      </w:pPr>
      <w:r>
        <w:rPr>
          <w:b/>
        </w:rPr>
        <w:t xml:space="preserve">Embassy of Kenya in the United States: </w:t>
      </w:r>
      <w:r>
        <w:t>2249 R Street NW, Washington, DC 20008, United States</w:t>
      </w:r>
    </w:p>
    <w:sectPr w:rsidR="00FC693F" w:rsidRPr="0006063C" w:rsidSect="00034616">
      <w:footerReference w:type="default" r:id="rId9"/>
      <w:pgSz w:w="12240" w:h="15840"/>
      <w:pgMar w:top="1008" w:right="1152" w:bottom="936"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jc w:val="right"/>
    </w:pPr>
    <w:r>
      <w:t xml:space="preserve">Page </w:t>
      <w:fldChar w:fldCharType="begin"/>
      <w:instrText xml:space="preserve">PAGE</w:instrText>
      <w:fldChar w:fldCharType="end"/>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widowControl/>
      <w:spacing w:after="140" w:line="259" w:lineRule="auto"/>
    </w:pPr>
    <w:rPr>
      <w:rFonts w:ascii="Noto Sans" w:hAnsi="Noto Sans"/>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40" w:after="100"/>
      <w:outlineLvl w:val="0"/>
    </w:pPr>
    <w:rPr>
      <w:rFonts w:asciiTheme="majorHAnsi" w:eastAsiaTheme="majorEastAsia" w:hAnsiTheme="majorHAnsi" w:cstheme="majorBidi" w:ascii="Noto Sans" w:hAnsi="Noto Sans"/>
      <w:b/>
      <w:bCs/>
      <w:color w:val="172B4D"/>
      <w:sz w:val="32"/>
      <w:szCs w:val="28"/>
    </w:rPr>
  </w:style>
  <w:style w:type="paragraph" w:styleId="Heading2">
    <w:name w:val="heading 2"/>
    <w:basedOn w:val="Normal"/>
    <w:next w:val="Normal"/>
    <w:link w:val="Heading2Char"/>
    <w:uiPriority w:val="9"/>
    <w:unhideWhenUsed/>
    <w:qFormat/>
    <w:rsid w:val="00FC693F"/>
    <w:pPr>
      <w:keepNext/>
      <w:keepLines/>
      <w:spacing w:before="240" w:after="100"/>
      <w:outlineLvl w:val="1"/>
    </w:pPr>
    <w:rPr>
      <w:rFonts w:asciiTheme="majorHAnsi" w:eastAsiaTheme="majorEastAsia" w:hAnsiTheme="majorHAnsi" w:cstheme="majorBidi" w:ascii="Noto Sans" w:hAnsi="Noto Sans"/>
      <w:b/>
      <w:bCs/>
      <w:color w:val="243B5A"/>
      <w:sz w:val="25"/>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keepNext/>
      <w:keepLines/>
      <w:pBdr>
        <w:bottom w:val="single" w:sz="8" w:space="4" w:color="4F81BD" w:themeColor="accent1"/>
      </w:pBdr>
      <w:spacing w:after="300" w:line="240" w:lineRule="auto"/>
      <w:contextualSpacing/>
    </w:pPr>
    <w:rPr>
      <w:rFonts w:asciiTheme="majorHAnsi" w:eastAsiaTheme="majorEastAsia" w:hAnsiTheme="majorHAnsi" w:cstheme="majorBidi" w:ascii="Noto Sans" w:hAnsi="Noto Sans"/>
      <w:b/>
      <w:color w:val="172B4D"/>
      <w:spacing w:val="5"/>
      <w:kern w:val="28"/>
      <w:sz w:val="56"/>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keepNext/>
      <w:keepLines/>
      <w:numPr>
        <w:ilvl w:val="1"/>
      </w:numPr>
    </w:pPr>
    <w:rPr>
      <w:rFonts w:asciiTheme="majorHAnsi" w:eastAsiaTheme="majorEastAsia" w:hAnsiTheme="majorHAnsi" w:cstheme="majorBidi" w:ascii="Noto Sans" w:hAnsi="Noto Sans"/>
      <w:b w:val="0"/>
      <w:i/>
      <w:iCs/>
      <w:color w:val="566574"/>
      <w:spacing w:val="15"/>
      <w:sz w:val="26"/>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Eyebrow">
    <w:name w:val="Eyebrow"/>
    <w:pPr>
      <w:keepNext/>
      <w:spacing w:after="140"/>
    </w:pPr>
    <w:rPr>
      <w:rFonts w:ascii="Noto Sans" w:hAnsi="Noto Sans"/>
      <w:b/>
      <w:color w:val="536574"/>
      <w:sz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 Id="rId10" Type="http://schemas.openxmlformats.org/officeDocument/2006/relationships/image" Target="media/image1.png"/><Relationship Id="rId11" Type="http://schemas.openxmlformats.org/officeDocument/2006/relationships/hyperlink" Target="https://targeted.arm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