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Ecuador</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Daniel Noboa</w:t>
              <w:br/>
              <w:t>Palacio de Carondelet, García Moreno N10-43, Quito</w:t>
            </w:r>
          </w:p>
        </w:tc>
      </w:tr>
    </w:tbl>
    <w:p/>
    <w:p>
      <w:pPr>
        <w:jc w:val="center"/>
      </w:pPr>
      <w:r>
        <w:rPr>
          <w:i/>
          <w:color w:val="606060"/>
          <w:sz w:val="18"/>
        </w:rPr>
        <w:t>Copies: Ministry of Foreign Affairs and Human Mobility; Secretariat of Higher Education, Science, Technology and Innovation; Ministry of Telecommunications; EcuCERT; Superintendency of Personal Data Protection;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Daniel Noboa, Palacio de Carondelet, García Moreno N10-43, Quito, Ecuador</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Human Mobility; Secretariat of Higher Education, Science, Technology and Innovation; Ministry of Telecommunications; EcuCERT; Superintendency of Personal Data Protection;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Ecuador’s constitutional protections for personal integrity and privacy, its human-rights commitments, scientific policy, data-protection framework, cybersecurity institutions, and regional diplomacy makes Ecuador well positioned to contribute to that discussion.</w:t>
      </w:r>
    </w:p>
    <w:p>
      <w:pPr>
        <w:pStyle w:val="Heading1"/>
        <w:keepNext/>
        <w:keepLines/>
      </w:pPr>
      <w:r>
        <w:t>Request</w:t>
      </w:r>
    </w:p>
    <w:p>
      <w:pPr>
        <w:widowControl/>
      </w:pPr>
      <w:r>
        <w:t>At this stage, we are not asking Ecuador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Ecuador</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and Human Mobility: </w:t>
      </w:r>
      <w:r>
        <w:t>Carrión E1-76 and Avenida 10 de Agosto, Quito 170526, Ecuador</w:t>
      </w:r>
    </w:p>
    <w:p>
      <w:pPr>
        <w:widowControl/>
      </w:pPr>
      <w:r>
        <w:rPr>
          <w:b/>
        </w:rPr>
        <w:t xml:space="preserve">Secretariat of Higher Education, Science, Technology and Innovation: </w:t>
      </w:r>
      <w:r>
        <w:t>Whymper E7-37 and Alpallana, Quito 170518, Ecuador</w:t>
      </w:r>
    </w:p>
    <w:p>
      <w:pPr>
        <w:widowControl/>
      </w:pPr>
      <w:r>
        <w:rPr>
          <w:b/>
        </w:rPr>
        <w:t xml:space="preserve">Embassy of Ecuador in the United States: </w:t>
      </w:r>
      <w:r>
        <w:t>2535 15th Street NW, Washington, DC 20009,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