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Colombia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Abelardo De La Espriella</w:t>
              <w:br/>
              <w:t>Casa de Nariño, Carrera 8 No. 7-26, Bogotá D.C.</w:t>
            </w:r>
          </w:p>
        </w:tc>
      </w:tr>
    </w:tbl>
    <w:p/>
    <w:p>
      <w:pPr>
        <w:jc w:val="center"/>
      </w:pPr>
      <w:r>
        <w:rPr>
          <w:i/>
          <w:color w:val="606060"/>
          <w:sz w:val="18"/>
        </w:rPr>
        <w:t>Copies: Ministry of Foreign Affairs; Ministry of Science, Technology and Innovation; Ministry of ICT/COLCERT; Superintendency of Industry and Commerce; Ombudsman’s Office;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Abelardo De La Espriella, Casa de Nariño, Carrera 8 No. 7-26, Bogotá D.C., Colombia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Science, Technology and Innovation; Ministry of ICT/COLCERT; Superintendency of Industry and Commerce; Ombudsman’s Office;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Colombia’s constitutional human-rights framework, scientific capacity, privacy law, cybersecurity institutions, regional diplomacy, and experience with victim-centered public policy makes Colombia well positioned to contribute to that discussion.</w:t>
      </w:r>
    </w:p>
    <w:p>
      <w:pPr>
        <w:pStyle w:val="Heading1"/>
        <w:keepNext/>
        <w:keepLines/>
      </w:pPr>
      <w:r>
        <w:t>Request</w:t>
      </w:r>
    </w:p>
    <w:p>
      <w:pPr>
        <w:widowControl/>
      </w:pPr>
      <w:r>
        <w:t>At this stage, we are not asking Colombia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Colombia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Palacio de San Carlos, Calle 10 No. 5-51, Bogotá D.C., Colombia</w:t>
      </w:r>
    </w:p>
    <w:p>
      <w:pPr>
        <w:widowControl/>
      </w:pPr>
      <w:r>
        <w:rPr>
          <w:b/>
        </w:rPr>
        <w:t xml:space="preserve">Ministry of Science, Technology and Innovation: </w:t>
      </w:r>
      <w:r>
        <w:t>Avenida Calle 26 No. 57-83, Torre 8, Bogotá D.C., Colombia</w:t>
      </w:r>
    </w:p>
    <w:p>
      <w:pPr>
        <w:widowControl/>
      </w:pPr>
      <w:r>
        <w:rPr>
          <w:b/>
        </w:rPr>
        <w:t xml:space="preserve">Embassy of Colombia in the United States: </w:t>
      </w:r>
      <w:r>
        <w:t>1724 Massachusetts Avenue NW, Washington, DC 20036,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