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Canada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Mark Carney</w:t>
              <w:br/>
              <w:t>Office of the Prime Minister, Ottawa, Ontario K1A 0A2</w:t>
            </w:r>
          </w:p>
        </w:tc>
      </w:tr>
    </w:tbl>
    <w:p/>
    <w:p>
      <w:pPr>
        <w:jc w:val="center"/>
      </w:pPr>
      <w:r>
        <w:rPr>
          <w:i/>
          <w:color w:val="606060"/>
          <w:sz w:val="18"/>
        </w:rPr>
        <w:t>Copies: Global Affairs Canada; Innovation, Science and Economic Development Canada; Embassy of Canada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Mark Carney, Office of the Prime Minister, Ottawa, Ontario K1A 0A2, Canada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Global Affairs Canada; Innovation, Science and Economic Development Canada; Embassy of Canada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Canada’s work in international diplomacy, artificial-intelligence governance, privacy, cybersecurity, science, and human rights makes it well positioned to examine these issues within the protections of the Canadian Charter of Rights and Freedoms and federal privacy law.</w:t>
      </w:r>
    </w:p>
    <w:p>
      <w:pPr>
        <w:pStyle w:val="Heading1"/>
        <w:keepNext/>
        <w:keepLines/>
      </w:pPr>
      <w:r>
        <w:t>Request</w:t>
      </w:r>
    </w:p>
    <w:p>
      <w:pPr>
        <w:widowControl/>
      </w:pPr>
      <w:r>
        <w:t>At this stage, we are not asking Canada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Canada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Global Affairs Canada: </w:t>
      </w:r>
      <w:r>
        <w:t>125 Sussex Drive, Ottawa, Ontario K1A 0G2, Canada</w:t>
      </w:r>
    </w:p>
    <w:p>
      <w:pPr>
        <w:widowControl/>
      </w:pPr>
      <w:r>
        <w:rPr>
          <w:b/>
        </w:rPr>
        <w:t xml:space="preserve">Innovation, Science and Economic Development Canada: </w:t>
      </w:r>
      <w:r>
        <w:t>235 Queen Street, Ottawa, Ontario K1A 0H5, Canada</w:t>
      </w:r>
    </w:p>
    <w:p>
      <w:pPr>
        <w:widowControl/>
      </w:pPr>
      <w:r>
        <w:rPr>
          <w:b/>
        </w:rPr>
        <w:t xml:space="preserve">Embassy of Canada in the United States: </w:t>
      </w:r>
      <w:r>
        <w:t>501 Pennsylvania Avenue NW, Washington, DC 20001,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