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Australia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Anthony Albanese</w:t>
              <w:br/>
              <w:t>Parliament House, Canberra ACT 2600</w:t>
            </w:r>
          </w:p>
        </w:tc>
      </w:tr>
    </w:tbl>
    <w:p/>
    <w:p>
      <w:pPr>
        <w:jc w:val="center"/>
      </w:pPr>
      <w:r>
        <w:rPr>
          <w:i/>
          <w:color w:val="606060"/>
          <w:sz w:val="18"/>
        </w:rPr>
        <w:t>Copies: Department of Foreign Affairs and Trade; Department of Industry, Science and Resources; Embassy of Australia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Anthony Albanese, Parliament House, Canberra ACT 2600, Australia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Department of Foreign Affairs and Trade; Department of Industry, Science and Resources; Embassy of Australia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Australia’s leadership in regional diplomacy, privacy regulation, cybersecurity, national security, responsible research, and emerging-technology policy makes it well positioned to contribute to that discussion.</w:t>
      </w:r>
    </w:p>
    <w:p>
      <w:pPr>
        <w:pStyle w:val="Heading1"/>
        <w:keepNext/>
        <w:keepLines/>
      </w:pPr>
      <w:r>
        <w:t>Request</w:t>
      </w:r>
    </w:p>
    <w:p>
      <w:pPr>
        <w:widowControl/>
      </w:pPr>
      <w:r>
        <w:t>At this stage, we are not asking Australia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Australia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Department of Foreign Affairs and Trade: </w:t>
      </w:r>
      <w:r>
        <w:t>RG Casey Building, John McEwen Crescent, Barton ACT 0221, Australia</w:t>
      </w:r>
    </w:p>
    <w:p>
      <w:pPr>
        <w:widowControl/>
      </w:pPr>
      <w:r>
        <w:rPr>
          <w:b/>
        </w:rPr>
        <w:t xml:space="preserve">Department of Industry, Science and Resources: </w:t>
      </w:r>
      <w:r>
        <w:t>Industry House, 10 Binara Street, Canberra ACT 2601, Australia</w:t>
      </w:r>
    </w:p>
    <w:p>
      <w:pPr>
        <w:widowControl/>
      </w:pPr>
      <w:r>
        <w:rPr>
          <w:b/>
        </w:rPr>
        <w:t xml:space="preserve">Embassy of Australia in the United States: </w:t>
      </w:r>
      <w:r>
        <w:t>1601 Massachusetts Avenue NW, Washington, DC 20036,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